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E88" w14:textId="77777777" w:rsidR="002F05BC" w:rsidRDefault="002F05BC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bookmarkStart w:id="0" w:name="_GoBack"/>
      <w:bookmarkEnd w:id="0"/>
    </w:p>
    <w:p w14:paraId="404E4005" w14:textId="77777777" w:rsidR="003D5C22" w:rsidRDefault="003D5C22" w:rsidP="003D5C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Echographie pelvienne</w:t>
      </w:r>
    </w:p>
    <w:p w14:paraId="14FAC487" w14:textId="77777777" w:rsidR="003D5C22" w:rsidRDefault="003D5C22" w:rsidP="003D5C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>Masse annexielle</w:t>
      </w:r>
    </w:p>
    <w:p w14:paraId="7352382C" w14:textId="77777777" w:rsidR="003D5C22" w:rsidRDefault="003D5C22" w:rsidP="003D5C22">
      <w:pPr>
        <w:jc w:val="both"/>
        <w:rPr>
          <w:b/>
          <w:color w:val="FF0000"/>
          <w:u w:val="single"/>
        </w:rPr>
      </w:pPr>
    </w:p>
    <w:p w14:paraId="7D25A5C5" w14:textId="6DA3A4D6" w:rsidR="0018096B" w:rsidRDefault="0018096B" w:rsidP="0018096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Pour l’échographie d’une masse annexielle, le </w:t>
      </w:r>
      <w:r w:rsidRPr="00664BD6">
        <w:rPr>
          <w:bCs/>
          <w:color w:val="FF0000"/>
          <w:sz w:val="20"/>
          <w:szCs w:val="20"/>
          <w:u w:val="single"/>
        </w:rPr>
        <w:t>modèle de base est complété par :</w:t>
      </w:r>
    </w:p>
    <w:p w14:paraId="1FD9101C" w14:textId="77777777" w:rsidR="002F05BC" w:rsidRPr="003D5C22" w:rsidRDefault="002F05BC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4BD172" w14:textId="77777777" w:rsidR="002F05BC" w:rsidRPr="003D5C22" w:rsidRDefault="002F05BC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AEE300" w14:textId="77777777" w:rsidR="002F05BC" w:rsidRDefault="003D5C22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cas de masse annexielle</w:t>
      </w:r>
    </w:p>
    <w:p w14:paraId="58472FA5" w14:textId="77777777" w:rsidR="003D5C22" w:rsidRPr="003D5C22" w:rsidRDefault="003D5C22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FBB312" w14:textId="1D7E3CF5" w:rsidR="002F05BC" w:rsidRPr="003D5C22" w:rsidRDefault="000C0B39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3D5C22">
        <w:rPr>
          <w:rFonts w:ascii="Arial" w:hAnsi="Arial" w:cs="Arial"/>
          <w:b/>
          <w:bCs/>
          <w:i/>
          <w:u w:val="single"/>
        </w:rPr>
        <w:t>1</w:t>
      </w:r>
      <w:r w:rsidR="003D5C22" w:rsidRPr="003D5C22">
        <w:rPr>
          <w:rFonts w:ascii="Arial" w:hAnsi="Arial" w:cs="Arial"/>
          <w:b/>
          <w:bCs/>
          <w:i/>
          <w:u w:val="single"/>
        </w:rPr>
        <w:t xml:space="preserve"> </w:t>
      </w:r>
      <w:r w:rsidR="005261A8">
        <w:rPr>
          <w:rFonts w:ascii="Arial" w:hAnsi="Arial" w:cs="Arial"/>
          <w:b/>
          <w:bCs/>
          <w:i/>
          <w:u w:val="single"/>
        </w:rPr>
        <w:t>–</w:t>
      </w:r>
      <w:r w:rsidR="003D5C22" w:rsidRPr="003D5C22">
        <w:rPr>
          <w:rFonts w:ascii="Arial" w:hAnsi="Arial" w:cs="Arial"/>
          <w:b/>
          <w:bCs/>
          <w:i/>
          <w:u w:val="single"/>
        </w:rPr>
        <w:t xml:space="preserve"> </w:t>
      </w:r>
      <w:r w:rsidR="002F05BC" w:rsidRPr="003D5C22">
        <w:rPr>
          <w:rFonts w:ascii="Arial" w:hAnsi="Arial" w:cs="Arial"/>
          <w:b/>
          <w:bCs/>
          <w:i/>
          <w:u w:val="single"/>
        </w:rPr>
        <w:t>O</w:t>
      </w:r>
      <w:r w:rsidR="007C6549">
        <w:rPr>
          <w:rFonts w:ascii="Arial" w:hAnsi="Arial" w:cs="Arial"/>
          <w:b/>
          <w:bCs/>
          <w:i/>
          <w:u w:val="single"/>
        </w:rPr>
        <w:t>vaire</w:t>
      </w:r>
      <w:r w:rsidR="005261A8">
        <w:rPr>
          <w:rFonts w:ascii="Arial" w:hAnsi="Arial" w:cs="Arial"/>
          <w:b/>
          <w:bCs/>
          <w:i/>
          <w:u w:val="single"/>
        </w:rPr>
        <w:t xml:space="preserve"> droit ou gauche</w:t>
      </w:r>
      <w:r w:rsidR="002F05BC" w:rsidRPr="003D5C22">
        <w:rPr>
          <w:rFonts w:ascii="Arial" w:hAnsi="Arial" w:cs="Arial"/>
          <w:b/>
          <w:bCs/>
          <w:i/>
          <w:u w:val="single"/>
        </w:rPr>
        <w:t xml:space="preserve"> </w:t>
      </w:r>
    </w:p>
    <w:p w14:paraId="7C11831E" w14:textId="77777777" w:rsidR="003D5C22" w:rsidRPr="003D5C22" w:rsidRDefault="002F05BC" w:rsidP="003D5C2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D5C22">
        <w:rPr>
          <w:rFonts w:ascii="Arial" w:hAnsi="Arial" w:cs="Arial"/>
          <w:bCs/>
        </w:rPr>
        <w:t>Topographie</w:t>
      </w:r>
    </w:p>
    <w:p w14:paraId="46DFFDF9" w14:textId="77777777" w:rsidR="003D5C22" w:rsidRDefault="002F05BC" w:rsidP="002F05B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D5C22">
        <w:rPr>
          <w:rFonts w:ascii="Arial" w:hAnsi="Arial" w:cs="Arial"/>
          <w:bCs/>
        </w:rPr>
        <w:t>Mesure dans les 3 axes</w:t>
      </w:r>
    </w:p>
    <w:p w14:paraId="1A1F1ED6" w14:textId="77777777" w:rsidR="002F05BC" w:rsidRDefault="000C0B39" w:rsidP="002F05B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D5C22">
        <w:rPr>
          <w:rFonts w:ascii="Arial" w:hAnsi="Arial" w:cs="Arial"/>
          <w:bCs/>
        </w:rPr>
        <w:t xml:space="preserve">Position pelvienne </w:t>
      </w:r>
    </w:p>
    <w:p w14:paraId="39F79084" w14:textId="696FEBA5" w:rsidR="0018096B" w:rsidRDefault="0018096B" w:rsidP="002F05B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Etude de la vascularisation</w:t>
      </w:r>
    </w:p>
    <w:p w14:paraId="55607DC7" w14:textId="77777777" w:rsidR="007C6549" w:rsidRDefault="007C6549" w:rsidP="007C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91FEBCF" w14:textId="1A22DBF1" w:rsidR="007C6549" w:rsidRPr="007C6549" w:rsidRDefault="007C6549" w:rsidP="007C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7C6549">
        <w:rPr>
          <w:rFonts w:ascii="Arial" w:hAnsi="Arial" w:cs="Arial"/>
          <w:b/>
          <w:bCs/>
          <w:i/>
        </w:rPr>
        <w:t>Etude analytique de la masse ovarienne</w:t>
      </w:r>
      <w:r w:rsidR="0018096B">
        <w:rPr>
          <w:rFonts w:ascii="Arial" w:hAnsi="Arial" w:cs="Arial"/>
          <w:b/>
          <w:bCs/>
          <w:i/>
        </w:rPr>
        <w:t xml:space="preserve"> (selon IOTA)</w:t>
      </w:r>
    </w:p>
    <w:p w14:paraId="38A6453B" w14:textId="4F23593A" w:rsidR="007C6549" w:rsidRPr="007C6549" w:rsidRDefault="0018096B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M1 – masse solide irrégulière</w:t>
      </w:r>
    </w:p>
    <w:p w14:paraId="4424952C" w14:textId="60900958" w:rsidR="007C6549" w:rsidRDefault="007C6549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M2 – présence d’ascite</w:t>
      </w:r>
    </w:p>
    <w:p w14:paraId="69A1F85A" w14:textId="1CAE3BA1" w:rsidR="005261A8" w:rsidRDefault="005261A8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M3 – structures papillaires &gt; ou = à 4</w:t>
      </w:r>
    </w:p>
    <w:p w14:paraId="10C36690" w14:textId="53FB0A89" w:rsidR="007C6549" w:rsidRDefault="005261A8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M4 – masse solide multiloculaire irrégulière avec un diamètre maximum &gt; ou à = 100 mm</w:t>
      </w:r>
    </w:p>
    <w:p w14:paraId="0030A604" w14:textId="28A0A24D" w:rsidR="007C6549" w:rsidRDefault="005261A8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M5</w:t>
      </w:r>
      <w:r w:rsidR="007C6549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flux sanguin très important (score = 4)</w:t>
      </w:r>
    </w:p>
    <w:p w14:paraId="634236D5" w14:textId="77777777" w:rsidR="008049E7" w:rsidRDefault="008049E7" w:rsidP="008049E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E6C9F64" w14:textId="730F83CC" w:rsidR="005261A8" w:rsidRDefault="005261A8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B1 – uniloculaire</w:t>
      </w:r>
    </w:p>
    <w:p w14:paraId="382BABC0" w14:textId="5EBCD2C8" w:rsidR="005261A8" w:rsidRDefault="005261A8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B2 – présence d’éléments solides dont le plus grand diamètre maximum &lt; 100 mm</w:t>
      </w:r>
    </w:p>
    <w:p w14:paraId="42D77553" w14:textId="08181925" w:rsidR="005261A8" w:rsidRDefault="005261A8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B3 – présence d’ombres acoustiques</w:t>
      </w:r>
    </w:p>
    <w:p w14:paraId="0D6F763F" w14:textId="2EF7E4BD" w:rsidR="005261A8" w:rsidRDefault="005261A8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B4 – tumeur lisse multiloculaire avec un diamètre maximum &lt; 100 mm</w:t>
      </w:r>
    </w:p>
    <w:p w14:paraId="760167CC" w14:textId="16F36BED" w:rsidR="005261A8" w:rsidRDefault="005261A8" w:rsidP="007C6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B5 – pas de flux sanguin (score 1)</w:t>
      </w:r>
    </w:p>
    <w:p w14:paraId="2480B5DC" w14:textId="77777777" w:rsidR="002F634F" w:rsidRPr="003D5C22" w:rsidRDefault="002F634F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CD796F" w14:textId="77777777" w:rsidR="002F634F" w:rsidRPr="003D5C22" w:rsidRDefault="002F634F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DB88038" w14:textId="785F96B6" w:rsidR="002F05BC" w:rsidRPr="005261A8" w:rsidRDefault="002F634F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5261A8">
        <w:rPr>
          <w:rFonts w:ascii="Arial" w:hAnsi="Arial" w:cs="Arial"/>
          <w:b/>
          <w:bCs/>
          <w:i/>
          <w:u w:val="single"/>
        </w:rPr>
        <w:t xml:space="preserve"> 2</w:t>
      </w:r>
      <w:r w:rsidR="005261A8" w:rsidRPr="005261A8">
        <w:rPr>
          <w:rFonts w:ascii="Arial" w:hAnsi="Arial" w:cs="Arial"/>
          <w:b/>
          <w:bCs/>
          <w:i/>
          <w:u w:val="single"/>
        </w:rPr>
        <w:t xml:space="preserve"> </w:t>
      </w:r>
      <w:r w:rsidRPr="005261A8">
        <w:rPr>
          <w:rFonts w:ascii="Arial" w:hAnsi="Arial" w:cs="Arial"/>
          <w:b/>
          <w:bCs/>
          <w:i/>
          <w:u w:val="single"/>
        </w:rPr>
        <w:t>-</w:t>
      </w:r>
      <w:r w:rsidR="005261A8" w:rsidRPr="005261A8">
        <w:rPr>
          <w:rFonts w:ascii="Arial" w:hAnsi="Arial" w:cs="Arial"/>
          <w:b/>
          <w:bCs/>
          <w:i/>
          <w:u w:val="single"/>
        </w:rPr>
        <w:t xml:space="preserve"> </w:t>
      </w:r>
      <w:r w:rsidR="005261A8">
        <w:rPr>
          <w:rFonts w:ascii="Arial" w:hAnsi="Arial" w:cs="Arial"/>
          <w:b/>
          <w:bCs/>
          <w:i/>
          <w:u w:val="single"/>
        </w:rPr>
        <w:t>Trompes</w:t>
      </w:r>
    </w:p>
    <w:p w14:paraId="2A1BEFF0" w14:textId="4B3FDC87" w:rsidR="002F05BC" w:rsidRPr="005261A8" w:rsidRDefault="002F05BC" w:rsidP="005261A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261A8">
        <w:rPr>
          <w:rFonts w:ascii="Arial" w:hAnsi="Arial" w:cs="Arial"/>
          <w:bCs/>
        </w:rPr>
        <w:t>d'aspect habituel</w:t>
      </w:r>
      <w:r w:rsidR="008049E7">
        <w:rPr>
          <w:rFonts w:ascii="Arial" w:hAnsi="Arial" w:cs="Arial"/>
          <w:bCs/>
        </w:rPr>
        <w:t xml:space="preserve"> : </w:t>
      </w:r>
      <w:r w:rsidR="0018096B">
        <w:rPr>
          <w:rFonts w:ascii="Arial" w:hAnsi="Arial" w:cs="Arial"/>
          <w:bCs/>
        </w:rPr>
        <w:tab/>
      </w:r>
      <w:r w:rsidR="0018096B">
        <w:rPr>
          <w:rFonts w:ascii="Webdings" w:hAnsi="Webdings"/>
          <w:bCs/>
          <w:sz w:val="20"/>
          <w:szCs w:val="20"/>
        </w:rPr>
        <w:sym w:font="Wingdings" w:char="F06F"/>
      </w:r>
      <w:r w:rsidR="0018096B">
        <w:rPr>
          <w:rFonts w:ascii="Webdings" w:hAnsi="Webdings"/>
          <w:bCs/>
          <w:sz w:val="20"/>
          <w:szCs w:val="20"/>
        </w:rPr>
        <w:t></w:t>
      </w:r>
      <w:r w:rsidR="0018096B" w:rsidRPr="00F350E5">
        <w:rPr>
          <w:sz w:val="20"/>
          <w:szCs w:val="20"/>
        </w:rPr>
        <w:t>oui</w:t>
      </w:r>
      <w:r w:rsidR="0018096B">
        <w:rPr>
          <w:sz w:val="20"/>
          <w:szCs w:val="20"/>
        </w:rPr>
        <w:t xml:space="preserve">      </w:t>
      </w:r>
      <w:r w:rsidR="0018096B">
        <w:rPr>
          <w:rFonts w:ascii="Webdings" w:hAnsi="Webdings"/>
          <w:bCs/>
          <w:sz w:val="20"/>
          <w:szCs w:val="20"/>
        </w:rPr>
        <w:sym w:font="Wingdings" w:char="F06F"/>
      </w:r>
      <w:r w:rsidR="0018096B">
        <w:rPr>
          <w:rFonts w:ascii="Webdings" w:hAnsi="Webdings"/>
          <w:bCs/>
          <w:sz w:val="20"/>
          <w:szCs w:val="20"/>
        </w:rPr>
        <w:t></w:t>
      </w:r>
      <w:r w:rsidR="0018096B" w:rsidRPr="00F350E5">
        <w:rPr>
          <w:sz w:val="20"/>
          <w:szCs w:val="20"/>
        </w:rPr>
        <w:t>non</w:t>
      </w:r>
      <w:r w:rsidR="0018096B">
        <w:rPr>
          <w:sz w:val="20"/>
          <w:szCs w:val="20"/>
        </w:rPr>
        <w:t xml:space="preserve">         </w:t>
      </w:r>
    </w:p>
    <w:p w14:paraId="0625B530" w14:textId="5FE1DFD7" w:rsidR="005261A8" w:rsidRDefault="008049E7" w:rsidP="008049E7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 </w:t>
      </w:r>
      <w:r w:rsidR="005261A8">
        <w:rPr>
          <w:rFonts w:ascii="Arial" w:hAnsi="Arial" w:cs="Arial"/>
          <w:bCs/>
        </w:rPr>
        <w:t>hydrosalpinx</w:t>
      </w:r>
    </w:p>
    <w:p w14:paraId="758E5886" w14:textId="2450121E" w:rsidR="005261A8" w:rsidRDefault="005261A8" w:rsidP="008049E7">
      <w:pPr>
        <w:pStyle w:val="Paragraphedeliste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taille</w:t>
      </w:r>
    </w:p>
    <w:p w14:paraId="6A14355D" w14:textId="11666191" w:rsidR="005261A8" w:rsidRDefault="005261A8" w:rsidP="008049E7">
      <w:pPr>
        <w:pStyle w:val="Paragraphedeliste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longueur</w:t>
      </w:r>
    </w:p>
    <w:p w14:paraId="2ED3E0DE" w14:textId="1FB9C501" w:rsidR="005261A8" w:rsidRPr="005261A8" w:rsidRDefault="005261A8" w:rsidP="008049E7">
      <w:pPr>
        <w:pStyle w:val="Paragraphedeliste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diamètre antéro-postérieur</w:t>
      </w:r>
    </w:p>
    <w:p w14:paraId="245A6949" w14:textId="77777777" w:rsidR="002F05BC" w:rsidRDefault="002F05BC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FC1423" w14:textId="77777777" w:rsidR="0018096B" w:rsidRDefault="0018096B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9D6E89" w14:textId="74AF33FE" w:rsidR="0018096B" w:rsidRDefault="0018096B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Iconographie de la masse ovarienne avec mesures</w:t>
      </w:r>
    </w:p>
    <w:p w14:paraId="72A6664B" w14:textId="006A9515" w:rsidR="0018096B" w:rsidRPr="003D5C22" w:rsidRDefault="0018096B" w:rsidP="002F0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Rajouter règle de calcul IOTA</w:t>
      </w:r>
    </w:p>
    <w:p w14:paraId="3B85EBC3" w14:textId="77777777" w:rsidR="009C793B" w:rsidRPr="003D5C22" w:rsidRDefault="009C793B" w:rsidP="002F05BC"/>
    <w:sectPr w:rsidR="009C793B" w:rsidRPr="003D5C22" w:rsidSect="005261A8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804F7"/>
    <w:multiLevelType w:val="hybridMultilevel"/>
    <w:tmpl w:val="AB2897DC"/>
    <w:lvl w:ilvl="0" w:tplc="B2D655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BC"/>
    <w:rsid w:val="000C0B39"/>
    <w:rsid w:val="00171667"/>
    <w:rsid w:val="0018096B"/>
    <w:rsid w:val="002F05BC"/>
    <w:rsid w:val="002F634F"/>
    <w:rsid w:val="003D5C22"/>
    <w:rsid w:val="005261A8"/>
    <w:rsid w:val="00691926"/>
    <w:rsid w:val="007C6549"/>
    <w:rsid w:val="008049E7"/>
    <w:rsid w:val="009C793B"/>
    <w:rsid w:val="00BF6D90"/>
    <w:rsid w:val="00CD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48D5C"/>
  <w15:docId w15:val="{2910FAF6-63E4-486A-B298-0CDBED33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5C22"/>
    <w:pPr>
      <w:ind w:left="720"/>
      <w:contextualSpacing/>
    </w:pPr>
  </w:style>
  <w:style w:type="paragraph" w:customStyle="1" w:styleId="Default">
    <w:name w:val="Default"/>
    <w:rsid w:val="001809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ALY ABBARA</cp:lastModifiedBy>
  <cp:revision>2</cp:revision>
  <dcterms:created xsi:type="dcterms:W3CDTF">2017-09-09T22:46:00Z</dcterms:created>
  <dcterms:modified xsi:type="dcterms:W3CDTF">2017-09-09T22:46:00Z</dcterms:modified>
</cp:coreProperties>
</file>